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10" w:rsidRPr="00B14523" w:rsidRDefault="00786533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Semibold"/>
          <w:b/>
          <w:bCs/>
          <w:color w:val="000000"/>
          <w:sz w:val="36"/>
          <w:szCs w:val="36"/>
        </w:rPr>
      </w:pPr>
      <w:r>
        <w:rPr>
          <w:rFonts w:ascii="Garamond" w:hAnsi="Garamond" w:cs="AGaramond-Semibold"/>
          <w:b/>
          <w:bCs/>
          <w:color w:val="000000"/>
          <w:sz w:val="36"/>
          <w:szCs w:val="36"/>
        </w:rPr>
        <w:t>Presentazione</w:t>
      </w:r>
    </w:p>
    <w:p w:rsidR="00B14523" w:rsidRPr="00B14523" w:rsidRDefault="00B14523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Semibold"/>
          <w:b/>
          <w:bCs/>
          <w:color w:val="000000"/>
          <w:sz w:val="36"/>
          <w:szCs w:val="36"/>
        </w:rPr>
      </w:pPr>
    </w:p>
    <w:p w:rsidR="00FA5410" w:rsidRPr="00B14523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Italic"/>
          <w:i/>
          <w:iCs/>
          <w:color w:val="000000"/>
          <w:sz w:val="21"/>
          <w:szCs w:val="21"/>
        </w:rPr>
      </w:pPr>
      <w:r w:rsidRPr="00B14523">
        <w:rPr>
          <w:rFonts w:ascii="Garamond" w:hAnsi="Garamond" w:cs="AGaramond-Italic"/>
          <w:i/>
          <w:iCs/>
          <w:color w:val="000000"/>
          <w:sz w:val="21"/>
          <w:szCs w:val="21"/>
        </w:rPr>
        <w:t>A Regina e Libero, al loro sguardo</w:t>
      </w:r>
    </w:p>
    <w:p w:rsidR="00767A99" w:rsidRPr="00FA5410" w:rsidRDefault="00767A99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Italic"/>
          <w:i/>
          <w:iCs/>
          <w:color w:val="000000"/>
          <w:sz w:val="21"/>
          <w:szCs w:val="21"/>
        </w:rPr>
      </w:pPr>
    </w:p>
    <w:p w:rsidR="00FA5410" w:rsidRPr="00FA5410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000000"/>
        </w:rPr>
      </w:pPr>
      <w:r w:rsidRPr="00FA5410">
        <w:rPr>
          <w:rFonts w:ascii="Garamond" w:hAnsi="Garamond" w:cs="AGaramond-Regular"/>
          <w:color w:val="4D4D4D"/>
        </w:rPr>
        <w:t>C</w:t>
      </w:r>
      <w:r w:rsidRPr="00FA5410">
        <w:rPr>
          <w:rFonts w:ascii="Garamond" w:hAnsi="Garamond" w:cs="AGaramond-Regular"/>
          <w:color w:val="000000"/>
        </w:rPr>
        <w:t>ome tutte le mostre, o almeno quelle che fanno parte di un percorso</w:t>
      </w:r>
      <w:r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della propria vita, anche questa ha una storia incominciata diverso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tempo fa, assai prima rispetto al momento in cui l’associazione culturale</w:t>
      </w:r>
      <w:r w:rsidR="00767A99">
        <w:rPr>
          <w:rFonts w:ascii="Garamond" w:hAnsi="Garamond" w:cs="AGaramond-Regular"/>
          <w:color w:val="000000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</w:rPr>
        <w:t>MetaMorfosi</w:t>
      </w:r>
      <w:proofErr w:type="spellEnd"/>
      <w:r w:rsidRPr="00FA5410">
        <w:rPr>
          <w:rFonts w:ascii="Garamond" w:hAnsi="Garamond" w:cs="AGaramond-Regular"/>
          <w:color w:val="000000"/>
        </w:rPr>
        <w:t>, tramite Pietro Folena, mi contattò per offrirmi di curare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un’esposizione dedicata a Raffaello presso i Musei Capitolini. Risposi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subito di sì; e come poteva essere altrimenti? A prescindere dalla gentilezza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dei colleghi capitolini, che mi accolsero sin dall’inizio con una cordiale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disponibilità e una fiduciosa aspettativa rispetto a quanto avrei realizzato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nella loro sede museale, il Campidoglio rimane pur sempre uno dei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luoghi universali dell’immaginario artistico, con la sua eccezionale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stratificazione di epoche e civiltà diverse che si traduce in una sintesi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talmente sublime da fare, di quello spazio naturale e urbano abitato</w:t>
      </w:r>
      <w:r w:rsidR="00767A99">
        <w:rPr>
          <w:rFonts w:ascii="Garamond" w:hAnsi="Garamond" w:cs="AGaramond-Regular"/>
          <w:color w:val="000000"/>
        </w:rPr>
        <w:t xml:space="preserve"> dall’arte, un emblema </w:t>
      </w:r>
      <w:r w:rsidRPr="00FA5410">
        <w:rPr>
          <w:rFonts w:ascii="Garamond" w:hAnsi="Garamond" w:cs="AGaramond-Regular"/>
          <w:color w:val="000000"/>
        </w:rPr>
        <w:t>stesso della cultura, in un’accezione più vasta 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globale che prescinde dal luogo stesso e dalla sua storia particolare.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Ma, pur accettando con entusiasmo quell’invito cortese, espressi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altrettanto immediatamente delle riserve sul tema. Raffaello è, senza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ombra di smentita, un grande artista, in grado di sostenere (e riassorbire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al suo interno) le oscillazioni ricorrenti nella fortuna critica, che di volta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in volta hanno condotto a eclissi di interesse, per quanto parziali, o 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eccessi, non sempre efficaci e opportuni, di zelo storiografico. È vero che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le sue opere sono ancora in grado di stupirci rivelando un potenziale di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ricerca pressoché inesauribile, tuttavia, quando ricevetti quella proposta,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ero al corrente del fatto che si stava organizzando un’ampia mostra</w:t>
      </w:r>
      <w:r w:rsidR="00767A99">
        <w:rPr>
          <w:rFonts w:ascii="Garamond" w:hAnsi="Garamond" w:cs="AGaramond-Regular"/>
          <w:color w:val="000000"/>
        </w:rPr>
        <w:t xml:space="preserve"> monografica per i </w:t>
      </w:r>
      <w:r w:rsidRPr="00FA5410">
        <w:rPr>
          <w:rFonts w:ascii="Garamond" w:hAnsi="Garamond" w:cs="AGaramond-Regular"/>
          <w:color w:val="000000"/>
        </w:rPr>
        <w:t xml:space="preserve">musei del </w:t>
      </w:r>
      <w:proofErr w:type="spellStart"/>
      <w:r w:rsidRPr="00FA5410">
        <w:rPr>
          <w:rFonts w:ascii="Garamond" w:hAnsi="Garamond" w:cs="AGaramond-Regular"/>
          <w:color w:val="000000"/>
        </w:rPr>
        <w:t>Prado</w:t>
      </w:r>
      <w:proofErr w:type="spellEnd"/>
      <w:r w:rsidRPr="00FA5410">
        <w:rPr>
          <w:rFonts w:ascii="Garamond" w:hAnsi="Garamond" w:cs="AGaramond-Regular"/>
          <w:color w:val="000000"/>
        </w:rPr>
        <w:t xml:space="preserve"> e del Louvre. Pensai che un’ulteriore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iniziativa su Raffaello, anche se principalmente mirata alla grafica,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avrebbe rischiato di ingenerare quella periodica inflazione del soggetto</w:t>
      </w:r>
      <w:r w:rsidR="00767A99">
        <w:rPr>
          <w:rFonts w:ascii="Garamond" w:hAnsi="Garamond" w:cs="AGaramond-Regular"/>
          <w:color w:val="000000"/>
        </w:rPr>
        <w:t xml:space="preserve"> che non ha mai giovato alla </w:t>
      </w:r>
      <w:r w:rsidRPr="00FA5410">
        <w:rPr>
          <w:rFonts w:ascii="Garamond" w:hAnsi="Garamond" w:cs="AGaramond-Regular"/>
          <w:color w:val="000000"/>
        </w:rPr>
        <w:t>comprensione e all’apprezzamento della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personalità artistica dell’Urbinate. Bisognava, mi dissi, lasciar “riposare”,</w:t>
      </w:r>
    </w:p>
    <w:p w:rsidR="00FA5410" w:rsidRPr="00FA5410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000000"/>
        </w:rPr>
      </w:pPr>
      <w:r w:rsidRPr="00FA5410">
        <w:rPr>
          <w:rFonts w:ascii="Garamond" w:hAnsi="Garamond" w:cs="AGaramond-Regular"/>
          <w:color w:val="000000"/>
        </w:rPr>
        <w:t>almeno per qualche tempo, il grande artista e, piuttosto, “girargli un poco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 xml:space="preserve">intorno”, più o meno come feci davanti al suo </w:t>
      </w:r>
      <w:r w:rsidRPr="00FA5410">
        <w:rPr>
          <w:rFonts w:ascii="Garamond" w:hAnsi="Garamond" w:cs="AGaramond-Italic"/>
          <w:i/>
          <w:iCs/>
          <w:color w:val="000000"/>
        </w:rPr>
        <w:t xml:space="preserve">Autoritratto con amico </w:t>
      </w:r>
      <w:r w:rsidRPr="00FA5410">
        <w:rPr>
          <w:rFonts w:ascii="Garamond" w:hAnsi="Garamond" w:cs="AGaramond-Regular"/>
          <w:color w:val="000000"/>
        </w:rPr>
        <w:t>del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Louvre durante la mia visita alla mostra madrilena, accorgendomi che il</w:t>
      </w:r>
    </w:p>
    <w:p w:rsidR="00FA5410" w:rsidRPr="00FA5410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000000"/>
        </w:rPr>
      </w:pPr>
      <w:r w:rsidRPr="00FA5410">
        <w:rPr>
          <w:rFonts w:ascii="Garamond" w:hAnsi="Garamond" w:cs="AGaramond-Regular"/>
          <w:color w:val="000000"/>
        </w:rPr>
        <w:t>fascino che esercitava su di me quell’immagine era anche dovuto alla sua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capacità di coinvolgermi personalmente, sollecitando interrogativi sulle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mie reali intenzioni nei confronti del suo autore.</w:t>
      </w:r>
    </w:p>
    <w:p w:rsidR="00FA5410" w:rsidRPr="00767A99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000000"/>
        </w:rPr>
      </w:pPr>
      <w:r w:rsidRPr="00FA5410">
        <w:rPr>
          <w:rFonts w:ascii="Garamond" w:hAnsi="Garamond" w:cs="AGaramond-Regular"/>
          <w:color w:val="000000"/>
        </w:rPr>
        <w:t>Avevo già intuito allora (e confermai la mia intuizione davanti al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dipinto) che per me sarebbe stato più stimolante guardare Raffaello con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gli occhi di due suoi colleghi, l’uno, più giovane di una generazione, l’altro,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attivo nella seconda metà di quello stesso secolo, il Cinquecento, che nel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 xml:space="preserve">suo primo ventennio aveva visto la piena affermazione del </w:t>
      </w:r>
      <w:proofErr w:type="spellStart"/>
      <w:r w:rsidRPr="00FA5410">
        <w:rPr>
          <w:rFonts w:ascii="Garamond" w:hAnsi="Garamond" w:cs="AGaramond-Regular"/>
          <w:color w:val="000000"/>
        </w:rPr>
        <w:t>Sanzio</w:t>
      </w:r>
      <w:proofErr w:type="spellEnd"/>
      <w:r w:rsidRPr="00FA5410">
        <w:rPr>
          <w:rFonts w:ascii="Garamond" w:hAnsi="Garamond" w:cs="AGaramond-Regular"/>
          <w:color w:val="000000"/>
        </w:rPr>
        <w:t>. I due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artisti, Francesco Mazzola detto il Parmigianino e Federico Barocci, sono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 xml:space="preserve">ambedue ricordati nelle testimonianze </w:t>
      </w:r>
      <w:proofErr w:type="spellStart"/>
      <w:r w:rsidRPr="00FA5410">
        <w:rPr>
          <w:rFonts w:ascii="Garamond" w:hAnsi="Garamond" w:cs="AGaramond-Regular"/>
          <w:color w:val="000000"/>
        </w:rPr>
        <w:t>cinque-seicentesche</w:t>
      </w:r>
      <w:proofErr w:type="spellEnd"/>
      <w:r w:rsidRPr="00FA5410">
        <w:rPr>
          <w:rFonts w:ascii="Garamond" w:hAnsi="Garamond" w:cs="AGaramond-Regular"/>
          <w:color w:val="000000"/>
        </w:rPr>
        <w:t xml:space="preserve"> come eredi di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Raffaello, sia pure per diversi motivi, ed entrambi vengono reputati tra i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più magistrali disegnatori della loro epoca, una prerogativa, quest’ultima,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che li avvicina strettamente al pittore più antico. Proprio indagando nella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vasta collezione grafica degli Uffizi sotto i nomi del Parmigianino e di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Barocci, nel corso del tempo (come ho detto, la storia di questa mostra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affonda le sue radici lontano) mi ero imbattuta in qualche opera non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conosciuta o fraintesa iconograficamente, ma, soprattutto, avevo avuto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</w:rPr>
        <w:t>modo di meditare sul significato delle loro sperimentazi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oni grafiche.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Guardando a Raffaello non direttamente bensì con gli occhi di Francesco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Mazzola e di Federico Barocci, potevo dunque affrontare il tema del confronto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e dell’eredità (o tramando) fra artisti, con riferimento a due pittori che si erano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espressi nella loro produzione grafica copiosamente, sperimentalmente e con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forza innovativa. Per di più, avrei tenuto insieme, benché su piani paralleli 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distinti ciascuno dei quali richiede una specifica metodologia di lettura, da un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lato, le testimonianze più antiche e, dall’altro, le opere dei tre artisti, Raffaello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compreso in quanto ineludibile termine di raffronto.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Riguardo la letteratura antica, non avevo certo in mente di offrire una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disamina della fortuna critica del Parmigianino e di Barocci, che sarebbe stata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del tutto pleonastica e fuori luogo; viceversa avvertivo la necessità di verificare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come venisse formulato inizialmente il paragone di entrambi con l’Urbinate.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In effetti, la nascita della leggenda relativa all’eredità spirituale di Raffaello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trasmessa al Parmigianino (la sua trasmigrazione nell’anima del giovane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emiliano) si manifesta tra la metà del Cinquecento e il Seicento, così come 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partire dagli anni Ottanta del secolo XVI si precisa il nesso tra Raffaello 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Barocci, più frequentemente fondato sulla comune patria di origine.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Lo spoglio delle testimonianze storiche è dunque affrontato nel Capitolo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I (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Le fonti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), dove i titoli assegnati alle due parti di cui si compone </w:t>
      </w:r>
      <w:r w:rsidR="00767A99">
        <w:rPr>
          <w:rFonts w:ascii="Garamond" w:hAnsi="Garamond" w:cs="AGaramond-Regular"/>
          <w:color w:val="000000"/>
          <w:sz w:val="21"/>
          <w:szCs w:val="21"/>
        </w:rPr>
        <w:t>–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Raphael</w:t>
      </w:r>
      <w:proofErr w:type="spellEnd"/>
      <w:r w:rsidR="00767A99">
        <w:rPr>
          <w:rFonts w:ascii="Garamond" w:hAnsi="Garamond" w:cs="AGaramond-Regular"/>
          <w:color w:val="000000"/>
        </w:rPr>
        <w:t xml:space="preserve">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redivivus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;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La «nova gloria» d’Urbino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- sintetizzano i punti salienti del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confronto dei due pittori con l’Urbinate e allo stesso tempo preparano il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lettore alle argomentazioni sviluppate nel Capitolo II (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Gli artisti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). Qui,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riferendomi all’intera produzione del Parmigianino e di Barocci, sia pittorica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che grafica, ho enucleato alcuni aspetti e nodi tematici che mi hanno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consentito di precisare e in parte rettificare gli accostamenti storici a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Raffaello. L’intento era di chiarire quei processi di assimilazione, emulazione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e differenziazione rispetto al modello, che, a ben guardare, furono per tutti</w:t>
      </w:r>
      <w:r w:rsidR="00767A99">
        <w:rPr>
          <w:rFonts w:ascii="Garamond" w:hAnsi="Garamond" w:cs="AGaramond-Regular"/>
          <w:color w:val="000000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e due assai precoci e molto originali. Raffaello diventa così lo specchio nel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quale ambedue si riflettono per conoscere meglio la propria immagine.</w:t>
      </w:r>
    </w:p>
    <w:p w:rsidR="00FA5410" w:rsidRPr="00FA5410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000000"/>
          <w:sz w:val="21"/>
          <w:szCs w:val="21"/>
        </w:rPr>
      </w:pPr>
      <w:r w:rsidRPr="00FA5410">
        <w:rPr>
          <w:rFonts w:ascii="Garamond" w:hAnsi="Garamond" w:cs="AGaramond-Regular"/>
          <w:color w:val="000000"/>
          <w:sz w:val="21"/>
          <w:szCs w:val="21"/>
        </w:rPr>
        <w:lastRenderedPageBreak/>
        <w:t>Prima di proseguire nel resoconto del volume, il cui andamento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corrisponde alle tre sezioni della mostra, vorrei però fare una necessaria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puntualizzazione: il confronto istituito tra le opere non ha mai condotto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chi scrive, né i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collaboratori cui si deve la seconda parte del volume, 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parlare di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influssi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(quelli di Raffaello sui due colleghi successivi),</w:t>
      </w:r>
    </w:p>
    <w:p w:rsidR="00FA5410" w:rsidRPr="00FA5410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000000"/>
          <w:sz w:val="21"/>
          <w:szCs w:val="21"/>
        </w:rPr>
      </w:pPr>
      <w:r w:rsidRPr="00FA5410">
        <w:rPr>
          <w:rFonts w:ascii="Garamond" w:hAnsi="Garamond" w:cs="AGaramond-Regular"/>
          <w:color w:val="000000"/>
          <w:sz w:val="21"/>
          <w:szCs w:val="21"/>
        </w:rPr>
        <w:t>condividendo appieno le riserve a suo tempo avanzate efficacemente 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767A99">
        <w:rPr>
          <w:rFonts w:ascii="Garamond" w:hAnsi="Garamond" w:cs="AGaramond-Regular"/>
          <w:color w:val="000000"/>
          <w:sz w:val="21"/>
          <w:szCs w:val="21"/>
        </w:rPr>
        <w:t xml:space="preserve">tal proposito da Michael </w:t>
      </w:r>
      <w:proofErr w:type="spellStart"/>
      <w:r w:rsidRPr="00767A99">
        <w:rPr>
          <w:rFonts w:ascii="Garamond" w:hAnsi="Garamond" w:cs="AGaramond-Regular"/>
          <w:color w:val="000000"/>
          <w:sz w:val="21"/>
          <w:szCs w:val="21"/>
        </w:rPr>
        <w:t>Baxandall</w:t>
      </w:r>
      <w:proofErr w:type="spellEnd"/>
      <w:r w:rsidRPr="00767A99">
        <w:rPr>
          <w:rFonts w:ascii="Garamond" w:hAnsi="Garamond" w:cs="AGaramond-Regular"/>
          <w:color w:val="000000"/>
          <w:sz w:val="21"/>
          <w:szCs w:val="21"/>
        </w:rPr>
        <w:t xml:space="preserve"> (</w:t>
      </w:r>
      <w:proofErr w:type="spellStart"/>
      <w:r w:rsidRPr="00767A99">
        <w:rPr>
          <w:rFonts w:ascii="Garamond" w:hAnsi="Garamond" w:cs="AGaramond-Italic"/>
          <w:i/>
          <w:iCs/>
          <w:color w:val="000000"/>
          <w:sz w:val="21"/>
          <w:szCs w:val="21"/>
        </w:rPr>
        <w:t>Patterns</w:t>
      </w:r>
      <w:proofErr w:type="spellEnd"/>
      <w:r w:rsidRPr="00767A99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 </w:t>
      </w:r>
      <w:proofErr w:type="spellStart"/>
      <w:r w:rsidRPr="00767A99">
        <w:rPr>
          <w:rFonts w:ascii="Garamond" w:hAnsi="Garamond" w:cs="AGaramond-Italic"/>
          <w:i/>
          <w:iCs/>
          <w:color w:val="000000"/>
          <w:sz w:val="21"/>
          <w:szCs w:val="21"/>
        </w:rPr>
        <w:t>of</w:t>
      </w:r>
      <w:proofErr w:type="spellEnd"/>
      <w:r w:rsidRPr="00767A99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 </w:t>
      </w:r>
      <w:proofErr w:type="spellStart"/>
      <w:r w:rsidRPr="00767A99">
        <w:rPr>
          <w:rFonts w:ascii="Garamond" w:hAnsi="Garamond" w:cs="AGaramond-Italic"/>
          <w:i/>
          <w:iCs/>
          <w:color w:val="000000"/>
          <w:sz w:val="21"/>
          <w:szCs w:val="21"/>
        </w:rPr>
        <w:t>Intention</w:t>
      </w:r>
      <w:proofErr w:type="spellEnd"/>
      <w:r w:rsidRPr="00767A99">
        <w:rPr>
          <w:rFonts w:ascii="Garamond" w:hAnsi="Garamond" w:cs="AGaramond-Italic"/>
          <w:i/>
          <w:iCs/>
          <w:color w:val="000000"/>
          <w:sz w:val="21"/>
          <w:szCs w:val="21"/>
        </w:rPr>
        <w:t>. On the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Historical</w:t>
      </w:r>
      <w:proofErr w:type="spellEnd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Explanation</w:t>
      </w:r>
      <w:proofErr w:type="spellEnd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of</w:t>
      </w:r>
      <w:proofErr w:type="spellEnd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Pictures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>, 1985). Semmai, si sono sottolineate,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come si diceva, rielaborazioni di motivi iconografici, emulazione,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competizione, diversificazione, alterità rispetto agli originali raffaelleschi,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ma anche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nei confronti di quella proliferazione di copie e rielaborazioni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pittoriche e grafiche che una fiorente industria del riciclaggio metteva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allora a disposizione di quanti volessero servirsene. Del resto, nel caso del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Parmigianino, l’esame di alcune questioni ancora aperte (tra cui la pratica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sperimentale dell’acquaforte e l’importanza assegnata al tracciato lineare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nella genesi delle immagini; il rapporto con l’antico; la contaminazione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fra sacro e profano e fra eros e spiritualità; il primato della linea sulla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parola) ha consentito di rovesciare i termini del confronto con l’Urbinate,</w:t>
      </w:r>
    </w:p>
    <w:p w:rsidR="00FA5410" w:rsidRPr="00767A99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000000"/>
          <w:sz w:val="21"/>
          <w:szCs w:val="21"/>
        </w:rPr>
      </w:pP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al punto che il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Raphael</w:t>
      </w:r>
      <w:proofErr w:type="spellEnd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redivivus</w:t>
      </w:r>
      <w:proofErr w:type="spellEnd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del Capitolo I si è trasformato, nel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Capitolo II, in un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‘alter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Raphael</w:t>
      </w:r>
      <w:proofErr w:type="spellEnd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’.</w:t>
      </w:r>
    </w:p>
    <w:p w:rsidR="00FA5410" w:rsidRPr="00FA5410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000000"/>
          <w:sz w:val="21"/>
          <w:szCs w:val="21"/>
        </w:rPr>
      </w:pPr>
      <w:r w:rsidRPr="00FA5410">
        <w:rPr>
          <w:rFonts w:ascii="Garamond" w:hAnsi="Garamond" w:cs="AGaramond-Regular"/>
          <w:color w:val="000000"/>
          <w:sz w:val="21"/>
          <w:szCs w:val="21"/>
        </w:rPr>
        <w:t>Differente è il caso di Barocci, per il quale l’eredità di Raffaello era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tutt’uno con la condivisione del luogo di origine e di alcune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caratteristiche radicate nella geografia culturale di Urbino. Federico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Barocci operò una sintesi tra tradizioni culturali diverse più ambiziosa di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quanto si possa immaginare a prima vista, pensando a un artista appartato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in un angolo dell’Italia, che ormai appariva avviato verso un inarrestabile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declino rispetto al suo passato luminoso. In particolare, la sua pacifica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ricomposizione tra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Disegno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fiorentino e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Colore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veneziano, e il ruolo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altrettanto importante accordato, all’interno di questa riconciliazione, al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chiaroscuro lombardo, diede luogo a quell’armoniosa coesistenza degli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opposti, che costituisce, appunto, il filo conduttore della parte a lui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dedicata nel Capitolo II (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L’armoniosa coesistenza degli opposti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). Nel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progetto vasto e impegnativo di armonizzare tra loro spinte artistiche</w:t>
      </w:r>
    </w:p>
    <w:p w:rsidR="00767A99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000000"/>
          <w:sz w:val="21"/>
          <w:szCs w:val="21"/>
        </w:rPr>
      </w:pP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assai differenti, mostrando la sua dissidenza rispetto al tracciato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vasariano</w:t>
      </w:r>
      <w:proofErr w:type="spellEnd"/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delle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Vite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nell’edizione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Giuntina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del 1568, risiede la motivazione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principale della sua emulazione di Raffaello.</w:t>
      </w:r>
    </w:p>
    <w:p w:rsidR="00FA5410" w:rsidRPr="00FA5410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000000"/>
          <w:sz w:val="21"/>
          <w:szCs w:val="21"/>
        </w:rPr>
      </w:pPr>
      <w:r w:rsidRPr="00FA5410">
        <w:rPr>
          <w:rFonts w:ascii="Garamond" w:hAnsi="Garamond" w:cs="AGaramond-Regular"/>
          <w:color w:val="000000"/>
          <w:sz w:val="21"/>
          <w:szCs w:val="21"/>
        </w:rPr>
        <w:t>Nel terzo Capitolo (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I temi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) l’attenzione si è di nuovo focalizzata sul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Parmigianino, che, non lo nascondo, è il principale protagonista dei miei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saggi, piuttosto che della mostra, dove ho invece cercato di mantenere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un certo equilibrio distributivo nella selezione delle opere. Le ragioni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risiedono nel rapporto dell’artista emiliano con Raffaello, così sottile,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penetrante e ancora in parte da esplorare.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Lo specchio, lo sguardo, il volto e la finestra forniscono, nelle due parti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di cui si compone il Capitolo III (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Lo specchio, lo sguardo, il volto.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Sperimentazioni e confessioni del Parmigianino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;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Parmigianino, Raffaello e la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metafora della finestra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), altrettante chiavi di lettura per comprendere la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reazione di Francesco Mazzola a temi affrontati da Raffaello e, ancora una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volta, la sua alterità rispetto a quel modello. Dal modo diverso di guardarsi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allo specchio e di interagire con la propria immagine, alle differenti soluzioni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proposte per il superamento della finestra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albertiana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che lo stesso Raffaello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a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veva avvertito come inevitabile, tutto, appunto, parla dell’originalità del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Parmigianino. La modernità controcorrente della sua ricerca artistica lo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teneva sospeso tra raffigurazioni pittoriche che paiono fuoriuscire dal quadro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e coinvolgere direttamente lo spettatore, rendendolo partecipe degli eventi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o dell’azione descritti, e viceversa raffigurazioni di superficie, poste cioè sul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diaframma sottile che c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ollega lo spazio dell’illusione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pittorica a quello della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realtà, quest’ultima interessata piuttosto all’esplorazione della prima forma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originaria della pittura stessa, il volto dell’uomo o, più specificamente, del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pittore, inteso come nuovo Narciso. Sono convinta che la sua arte oggi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conservi un’intatta freschezza e meglio di altri Francesco Mazzola adombri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alcuni aspetti delle esperienze artistiche del Novecento.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La mostra su Raffaello che originariamente mi si prospettava, alla fine,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si è trasformata in una esposizione di sguardi, e di sguardi incrociati: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quello degli autori antichi sul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Parmigianino e Barocci e sulla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relazione di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entrambi con Raffaello; quello dei due pittori sull’Urbinate; il loro stesso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sguardo infine, negli autoritratti selezionati, verso di noi. Così, la mobilità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intellettuale ed emotiva dello sguardo, il suo indugiare su altri volti (e,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con l’aiuto dello specchio, sul proprio) mi sono parse altrettante metafore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di una visione spaziale che a sua volta rispecchia l’indagine più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complessiva condotta dal Parmigianino e da Barocci sulle stesse strutture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ontologiche e semantiche della pittura.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È necessario, infine, spendere qualche parola sulla seconda parte del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volume che costituisce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una sorta di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vademecum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per la visita in mostra.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Qui, le schede tecniche sulle opere esposte forniscono una bibliografia il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più possibile ampia ed esaustiva, ma evitano accuratamente di riepilogare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pareri e opinioni, spesso riportati di recente in altre pubblicazioni e del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resto facilmente recuperabili con i dati bibliografici indicati. Il raccordo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tra schede tecniche e saggi introduttivi è affidato a contributi di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dimensioni più contenute, dove si motivano le ragioni della selezione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delle opere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e dei confronti istituiti nel percorso di mostra. Credo che il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visitatore dell’esposizione possa giovarsi di tali apporti, mentre mi auguro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che il lettore usufruisca di altre informazioni ancora e di diverse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prospettive di analisi attingendo dai saggi nei tre Capitoli.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Insomma, desideravo una pubblicazione in cui sia il lettore con maggiore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tempo a disposizione, sia il visitatore della mostra, incalzato da una differente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tempistica, potessero trovare stimoli 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n relazione a modalità di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lettura e livelli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di approfondimento differenziati. Siamo oggi sottoposti a un accanimento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mediatico delle informazioni, ma possiamo dirci altrettanto stimolati 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leggere un testo non solo per ricavarne dati, ma per riceverne spunti di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meditazione e individuare problematiche, magari da affrontare in futuro?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Questa mostra è dedicata ai giovani e in particolare ai miei studenti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dell’Università di Bologna e dell’Università Cattolica del Sacro Cuore di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Milano, perché si fermino a riflettere, senza alcun timore se non hanno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risposte immediate ai problemi (ma, semmai, con il timore di non porsi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domande) e non dimentichino di elaborare e discernere i dati che, in quantità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sempre maggiore, li raggiungono.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I contributi presenti nella seconda parte del volume si devono appunto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ad alcuni di loro, che hanno ormai da qualche tempo concluso gli studi:</w:t>
      </w:r>
    </w:p>
    <w:p w:rsidR="00FA5410" w:rsidRPr="00FA5410" w:rsidRDefault="00FA5410" w:rsidP="00FA54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Garamond-Regular"/>
          <w:color w:val="000000"/>
          <w:sz w:val="21"/>
          <w:szCs w:val="21"/>
        </w:rPr>
      </w:pPr>
      <w:r w:rsidRPr="00FA5410">
        <w:rPr>
          <w:rFonts w:ascii="Garamond" w:hAnsi="Garamond" w:cs="AGaramond-Regular"/>
          <w:color w:val="000000"/>
          <w:sz w:val="21"/>
          <w:szCs w:val="21"/>
        </w:rPr>
        <w:lastRenderedPageBreak/>
        <w:t xml:space="preserve">Laura Da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Rin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Bettina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, Roberta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Aliventi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>, Michele Grasso e Raimondo Sassi.</w:t>
      </w:r>
      <w:r w:rsidR="00B14523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Gli stessi sono anche i ricercatori del Progetto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Euploos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>, nato dalla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collaborazione tra il Gabinetto Disegni e Stampe degli Uffizi, il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Kunsthistorisches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Institut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in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Florenz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Max-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Planck-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Institut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e la Scuola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Normale Superiore, con il sostegno, dall’agosto del 2014, di Intesa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Sanpaolo</w:t>
      </w:r>
      <w:proofErr w:type="spellEnd"/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e rivolto sia alla catalogazione informatizzata della raccolta pubblica di disegni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fiorentina, sia alla formazione di giovani studiosi nel campo della grafica. Mi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ha inoltre affiancato in questa impresa Ilaria Rossi, veterana del Progetto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Euploos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e ora generosa collaboratrice esterna. La mia gratitudine nei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confronti di tutti loro è davvero grande, per aver condiviso con me fatiche,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stimoli, entusiasmo e scommesse sul piano culturale e della comunicazione.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Vorrei da ultimo rivolgere un pensiero a tutti coloro che si sono occupati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degli aspetti più disparati del volume e della mostra. Il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colophon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documenta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il lavoro della macchina organizzativa, gli istituti museali prestatori e le varie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competenze professionali coinvolte; la lista dei ringraziamenti annovera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quanti, singolarmente, hanno contribuito con suggerimenti e consigli. Non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è, dunque, necessario che mi diffonda ulteriormente, ma desidero almeno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formulare un ringraziamento corale, valido per tutti e davvero caloroso.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Intendo però richiamare di nuovo i miei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partners</w:t>
      </w:r>
      <w:proofErr w:type="spellEnd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più stretti, i Musei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Capitolini, e naturalmente con essi l’amministrazione di Roma Capitale,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nonché l’associazione culturale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MetaMorfosi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>, senza peraltro trascurare di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esprimere la mia gratitudine alla casa editrice, Palombi Editori, per la proficua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collaborazione che si è instaurata durante la pubblicazione del volume. </w:t>
      </w:r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Last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but</w:t>
      </w:r>
      <w:proofErr w:type="spellEnd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not</w:t>
      </w:r>
      <w:proofErr w:type="spellEnd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least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>, un pensiero speciale va al Gabinetto Disegni e Stampe degli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Uffizi, il cui apporto mi è stato, come al solito, insostituibile.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Nell’elenco dei ringraziamenti compare, forse un poco in sordina, un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istituto che merita invece una menzione particolare: si tratta del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Kunsthistorisches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Institut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in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Florenz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Max-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Planck-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Institut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>, dove sono stata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accolta come ospite scientifico per dieci mesi, distribuiti nei tre anni passati.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Grazie, dunque, ai due Direttori, Alessandro Nova e Gerhard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Wolf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>, che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oltretutto sono per me modelli costanti di riferimento. Le ricerche di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Alessandro vertono spesso su argomenti comuni ai miei e costituiscono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altrettante occasioni stimolanti di confronto e di precisazione per le mie idee.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Quanto a Gerhard, forse questa stessa mostra non ci sarebbe stata senza il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nostro comune Progetto LINEA, che rappresenta un punto di svolta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fondamentale nella mia traiettoria culturale. A lui devo inoltre un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ringraziamento speciale per aver discusso all’origine il progetto della mostra,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ricevendone da subito un incoraggiamento a proseguire, e anche per la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generosità intellettuale e l’acume critico con i quali ha letto e commentato i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miei testi.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 xml:space="preserve">Infine, non dimentico Daniele </w:t>
      </w:r>
      <w:proofErr w:type="spellStart"/>
      <w:r w:rsidRPr="00FA5410">
        <w:rPr>
          <w:rFonts w:ascii="Garamond" w:hAnsi="Garamond" w:cs="AGaramond-Regular"/>
          <w:color w:val="000000"/>
          <w:sz w:val="21"/>
          <w:szCs w:val="21"/>
        </w:rPr>
        <w:t>Menozzi</w:t>
      </w:r>
      <w:proofErr w:type="spellEnd"/>
      <w:r w:rsidRPr="00FA5410">
        <w:rPr>
          <w:rFonts w:ascii="Garamond" w:hAnsi="Garamond" w:cs="AGaramond-Regular"/>
          <w:color w:val="000000"/>
          <w:sz w:val="21"/>
          <w:szCs w:val="21"/>
        </w:rPr>
        <w:t>, che sa comprendere l’intensità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e la concentrazione nel lavoro come aspetti imprescindibili della mia</w:t>
      </w:r>
      <w:r w:rsidR="00767A99">
        <w:rPr>
          <w:rFonts w:ascii="Garamond" w:hAnsi="Garamond" w:cs="AGaramond-Regular"/>
          <w:color w:val="000000"/>
          <w:sz w:val="21"/>
          <w:szCs w:val="21"/>
        </w:rPr>
        <w:t xml:space="preserve"> </w:t>
      </w:r>
      <w:r w:rsidRPr="00FA5410">
        <w:rPr>
          <w:rFonts w:ascii="Garamond" w:hAnsi="Garamond" w:cs="AGaramond-Regular"/>
          <w:color w:val="000000"/>
          <w:sz w:val="21"/>
          <w:szCs w:val="21"/>
        </w:rPr>
        <w:t>personalità, con la tranquilla disponibilità di chi li ha sempre condivisi.</w:t>
      </w:r>
    </w:p>
    <w:p w:rsidR="00FA5410" w:rsidRPr="00FA5410" w:rsidRDefault="00FA5410" w:rsidP="00FA5410">
      <w:pPr>
        <w:spacing w:line="240" w:lineRule="auto"/>
        <w:jc w:val="both"/>
        <w:rPr>
          <w:rFonts w:ascii="Garamond" w:hAnsi="Garamond" w:cs="AGaramond-Italic"/>
          <w:i/>
          <w:iCs/>
          <w:color w:val="000000"/>
          <w:sz w:val="21"/>
          <w:szCs w:val="21"/>
        </w:rPr>
      </w:pPr>
    </w:p>
    <w:p w:rsidR="001B4D49" w:rsidRPr="00FA5410" w:rsidRDefault="00767A99" w:rsidP="00FA5410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</w:t>
      </w:r>
      <w:r w:rsidR="00FA5410"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 xml:space="preserve">Marzia </w:t>
      </w:r>
      <w:proofErr w:type="spellStart"/>
      <w:r w:rsidR="00FA5410" w:rsidRPr="00FA5410">
        <w:rPr>
          <w:rFonts w:ascii="Garamond" w:hAnsi="Garamond" w:cs="AGaramond-Italic"/>
          <w:i/>
          <w:iCs/>
          <w:color w:val="000000"/>
          <w:sz w:val="21"/>
          <w:szCs w:val="21"/>
        </w:rPr>
        <w:t>Faietti</w:t>
      </w:r>
      <w:proofErr w:type="spellEnd"/>
    </w:p>
    <w:sectPr w:rsidR="001B4D49" w:rsidRPr="00FA5410" w:rsidSect="001B4D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A5410"/>
    <w:rsid w:val="0018338F"/>
    <w:rsid w:val="001B4D49"/>
    <w:rsid w:val="00281840"/>
    <w:rsid w:val="006B59C6"/>
    <w:rsid w:val="00767A99"/>
    <w:rsid w:val="00786533"/>
    <w:rsid w:val="009C754A"/>
    <w:rsid w:val="00B14523"/>
    <w:rsid w:val="00E638E7"/>
    <w:rsid w:val="00FA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D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Zetema</Company>
  <LinksUpToDate>false</LinksUpToDate>
  <CharactersWithSpaces>16079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ufficiostampa</dc:creator>
  <cp:lastModifiedBy>FELIX</cp:lastModifiedBy>
  <cp:revision>4</cp:revision>
  <dcterms:created xsi:type="dcterms:W3CDTF">2015-09-30T07:39:00Z</dcterms:created>
  <dcterms:modified xsi:type="dcterms:W3CDTF">2015-11-07T08:10:00Z</dcterms:modified>
</cp:coreProperties>
</file>